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8C" w:rsidRDefault="00EF0B8C" w:rsidP="00A610A0">
      <w:pPr>
        <w:tabs>
          <w:tab w:val="left" w:pos="1260"/>
          <w:tab w:val="left" w:pos="1814"/>
          <w:tab w:val="left" w:pos="2381"/>
          <w:tab w:val="left" w:pos="2948"/>
          <w:tab w:val="left" w:pos="3515"/>
        </w:tabs>
        <w:spacing w:before="360" w:after="360" w:line="240" w:lineRule="auto"/>
        <w:ind w:left="1276"/>
        <w:rPr>
          <w:rFonts w:ascii="Times New Roman" w:hAnsi="Times New Roman"/>
          <w:b/>
          <w:sz w:val="24"/>
          <w:szCs w:val="24"/>
          <w:lang w:val="en-US"/>
        </w:rPr>
      </w:pPr>
      <w:r w:rsidRPr="000011A6">
        <w:rPr>
          <w:rFonts w:ascii="Times New Roman" w:hAnsi="Times New Roman"/>
          <w:b/>
          <w:sz w:val="24"/>
          <w:szCs w:val="24"/>
          <w:lang w:val="en-US"/>
        </w:rPr>
        <w:t xml:space="preserve">Briefing note on the work under the Basel Convention </w:t>
      </w:r>
      <w:r>
        <w:rPr>
          <w:rFonts w:ascii="Times New Roman" w:hAnsi="Times New Roman"/>
          <w:b/>
          <w:sz w:val="24"/>
          <w:szCs w:val="24"/>
          <w:lang w:val="en-US"/>
        </w:rPr>
        <w:t>at it relates to</w:t>
      </w:r>
      <w:r w:rsidRPr="000011A6">
        <w:rPr>
          <w:rFonts w:ascii="Times New Roman" w:hAnsi="Times New Roman"/>
          <w:b/>
          <w:sz w:val="24"/>
          <w:szCs w:val="24"/>
          <w:lang w:val="en-US"/>
        </w:rPr>
        <w:t xml:space="preserve"> wastes lead-acid batteries </w:t>
      </w:r>
    </w:p>
    <w:p w:rsidR="00EF0B8C" w:rsidRPr="000011A6" w:rsidRDefault="00EF0B8C" w:rsidP="00EF0B8C">
      <w:pPr>
        <w:spacing w:after="120" w:line="240" w:lineRule="auto"/>
        <w:ind w:left="1276"/>
        <w:rPr>
          <w:rFonts w:ascii="Times New Roman" w:hAnsi="Times New Roman"/>
          <w:sz w:val="20"/>
          <w:szCs w:val="20"/>
          <w:lang w:val="en-US"/>
        </w:rPr>
      </w:pPr>
      <w:r w:rsidRPr="000011A6">
        <w:rPr>
          <w:rFonts w:ascii="Times New Roman" w:hAnsi="Times New Roman"/>
          <w:sz w:val="20"/>
          <w:szCs w:val="20"/>
          <w:lang w:val="en-US"/>
        </w:rPr>
        <w:t>The Basel Convention on the Control of Transboundary Movements of Hazardous Wastes and their Disposal aims to protect human health and the environment against the adverse effects resulting from the generation, management, transboundary movements and disposal of hazardous and other wastes.</w:t>
      </w:r>
    </w:p>
    <w:p w:rsidR="00EF0B8C" w:rsidRDefault="00EF0B8C" w:rsidP="00EF0B8C">
      <w:pPr>
        <w:spacing w:after="120" w:line="240" w:lineRule="auto"/>
        <w:ind w:left="1276"/>
        <w:rPr>
          <w:rFonts w:ascii="Times New Roman" w:hAnsi="Times New Roman"/>
          <w:sz w:val="20"/>
          <w:szCs w:val="20"/>
          <w:lang w:val="en-US"/>
        </w:rPr>
      </w:pPr>
      <w:r w:rsidRPr="005402BF">
        <w:rPr>
          <w:rFonts w:ascii="Times New Roman" w:hAnsi="Times New Roman"/>
          <w:sz w:val="20"/>
          <w:szCs w:val="20"/>
          <w:lang w:val="en-US"/>
        </w:rPr>
        <w:t>Wastes lead-acid batteries</w:t>
      </w:r>
      <w:r>
        <w:rPr>
          <w:rFonts w:ascii="Times New Roman" w:hAnsi="Times New Roman"/>
          <w:sz w:val="20"/>
          <w:szCs w:val="20"/>
          <w:lang w:val="en-US"/>
        </w:rPr>
        <w:t xml:space="preserve"> are listed as “hazardous wastes” under the Basel Convention (classification A1160 in Annex VIII) and therefore Parties to the Convention are to manage this waste stream in accordance with the provisions set out in the Convention, including by: </w:t>
      </w:r>
    </w:p>
    <w:p w:rsidR="00EF0B8C" w:rsidRDefault="00EF0B8C" w:rsidP="00EF0B8C">
      <w:pPr>
        <w:pStyle w:val="ListParagraph"/>
        <w:numPr>
          <w:ilvl w:val="0"/>
          <w:numId w:val="2"/>
        </w:numPr>
        <w:spacing w:after="120" w:line="240" w:lineRule="auto"/>
        <w:ind w:left="1276" w:firstLine="360"/>
        <w:contextualSpacing w:val="0"/>
        <w:rPr>
          <w:rFonts w:ascii="Times New Roman" w:hAnsi="Times New Roman"/>
          <w:sz w:val="20"/>
          <w:szCs w:val="20"/>
          <w:lang w:val="en-US"/>
        </w:rPr>
      </w:pPr>
      <w:r w:rsidRPr="000011A6">
        <w:rPr>
          <w:rFonts w:ascii="Times New Roman" w:hAnsi="Times New Roman"/>
          <w:sz w:val="20"/>
          <w:szCs w:val="20"/>
          <w:lang w:val="en-US"/>
        </w:rPr>
        <w:t xml:space="preserve">Reducing to a minimum their generation; </w:t>
      </w:r>
    </w:p>
    <w:p w:rsidR="00EF0B8C" w:rsidRPr="005402BF" w:rsidRDefault="00EF0B8C" w:rsidP="00EF0B8C">
      <w:pPr>
        <w:pStyle w:val="ListParagraph"/>
        <w:numPr>
          <w:ilvl w:val="0"/>
          <w:numId w:val="2"/>
        </w:numPr>
        <w:spacing w:after="120" w:line="240" w:lineRule="auto"/>
        <w:ind w:left="1276" w:firstLine="360"/>
        <w:contextualSpacing w:val="0"/>
        <w:rPr>
          <w:rFonts w:ascii="Times New Roman" w:hAnsi="Times New Roman"/>
          <w:sz w:val="20"/>
          <w:szCs w:val="20"/>
          <w:lang w:val="en-US"/>
        </w:rPr>
      </w:pPr>
      <w:r w:rsidRPr="000011A6">
        <w:rPr>
          <w:rFonts w:ascii="Times New Roman" w:hAnsi="Times New Roman"/>
          <w:sz w:val="20"/>
          <w:szCs w:val="20"/>
          <w:lang w:val="en-US"/>
        </w:rPr>
        <w:t xml:space="preserve">Restricting the </w:t>
      </w:r>
      <w:r w:rsidRPr="005402BF">
        <w:rPr>
          <w:rFonts w:ascii="Times New Roman" w:hAnsi="Times New Roman"/>
          <w:sz w:val="20"/>
          <w:szCs w:val="20"/>
          <w:lang w:val="en-US"/>
        </w:rPr>
        <w:t xml:space="preserve">transboundary movements </w:t>
      </w:r>
      <w:r w:rsidRPr="000011A6">
        <w:rPr>
          <w:rFonts w:ascii="Times New Roman" w:hAnsi="Times New Roman"/>
          <w:sz w:val="20"/>
          <w:szCs w:val="20"/>
          <w:lang w:val="en-US"/>
        </w:rPr>
        <w:t xml:space="preserve">of such wastes, except where it is perceived to be in accordance with the principles of environmentally sound management. If such movement is permissible, the Convention sets out a detailed control system among Parties, based on </w:t>
      </w:r>
      <w:r w:rsidRPr="00DA597A">
        <w:rPr>
          <w:rFonts w:ascii="Times New Roman" w:hAnsi="Times New Roman"/>
          <w:sz w:val="20"/>
          <w:szCs w:val="20"/>
          <w:lang w:val="en-US"/>
        </w:rPr>
        <w:t>a “Prior Informed Consent</w:t>
      </w:r>
      <w:r w:rsidRPr="00D83F87">
        <w:rPr>
          <w:rFonts w:ascii="Times New Roman" w:hAnsi="Times New Roman"/>
          <w:sz w:val="20"/>
          <w:szCs w:val="20"/>
          <w:lang w:val="en-US"/>
        </w:rPr>
        <w:t>” procedure according to which a movement can only take place when the importing Part</w:t>
      </w:r>
      <w:r>
        <w:rPr>
          <w:rFonts w:ascii="Times New Roman" w:hAnsi="Times New Roman"/>
          <w:sz w:val="20"/>
          <w:szCs w:val="20"/>
          <w:lang w:val="en-US"/>
        </w:rPr>
        <w:t>y</w:t>
      </w:r>
      <w:r w:rsidRPr="000011A6">
        <w:rPr>
          <w:rFonts w:ascii="Times New Roman" w:hAnsi="Times New Roman"/>
          <w:sz w:val="20"/>
          <w:szCs w:val="20"/>
          <w:lang w:val="en-US"/>
        </w:rPr>
        <w:t xml:space="preserve"> and any Party that is a State of transit has consented to it in writing; </w:t>
      </w:r>
    </w:p>
    <w:p w:rsidR="00EF0B8C" w:rsidRPr="00121712" w:rsidRDefault="00EF0B8C" w:rsidP="00EF0B8C">
      <w:pPr>
        <w:pStyle w:val="ListParagraph"/>
        <w:numPr>
          <w:ilvl w:val="0"/>
          <w:numId w:val="2"/>
        </w:numPr>
        <w:autoSpaceDE w:val="0"/>
        <w:autoSpaceDN w:val="0"/>
        <w:adjustRightInd w:val="0"/>
        <w:spacing w:after="120" w:line="240" w:lineRule="auto"/>
        <w:ind w:left="1276" w:firstLine="360"/>
        <w:contextualSpacing w:val="0"/>
        <w:rPr>
          <w:rFonts w:ascii="Times New Roman" w:hAnsi="Times New Roman"/>
          <w:sz w:val="20"/>
          <w:szCs w:val="20"/>
          <w:lang w:val="en-US"/>
        </w:rPr>
      </w:pPr>
      <w:r w:rsidRPr="00121712">
        <w:rPr>
          <w:rFonts w:ascii="Times New Roman" w:hAnsi="Times New Roman"/>
          <w:sz w:val="20"/>
          <w:szCs w:val="20"/>
          <w:lang w:val="en-US"/>
        </w:rPr>
        <w:t xml:space="preserve">Taking appropriate measures to ensure their environmentally sound management. For instance, each Party must ensure that persons under its national jurisdiction that transport or dispose of hazardous wastes or other wastes are authorized or allowed to perform such types of operations; in addition, each Party is to ensure the availability of adequate disposal facilities, for the environmentally sound management of hazardous wastes and other wastes, that shall be located, to the extent possible, within it, whatever </w:t>
      </w:r>
      <w:r>
        <w:rPr>
          <w:rFonts w:ascii="Times New Roman" w:hAnsi="Times New Roman"/>
          <w:sz w:val="20"/>
          <w:szCs w:val="20"/>
          <w:lang w:val="en-US"/>
        </w:rPr>
        <w:t xml:space="preserve">the place of their disposal. </w:t>
      </w:r>
    </w:p>
    <w:p w:rsidR="00EF0B8C" w:rsidRPr="00E44440" w:rsidRDefault="00EF0B8C" w:rsidP="00EF0B8C">
      <w:pPr>
        <w:autoSpaceDE w:val="0"/>
        <w:autoSpaceDN w:val="0"/>
        <w:adjustRightInd w:val="0"/>
        <w:spacing w:after="120" w:line="240" w:lineRule="auto"/>
        <w:ind w:left="1260"/>
        <w:rPr>
          <w:rFonts w:ascii="Times New Roman" w:hAnsi="Times New Roman"/>
          <w:sz w:val="20"/>
          <w:szCs w:val="20"/>
          <w:lang w:val="en-US"/>
        </w:rPr>
      </w:pPr>
      <w:r w:rsidRPr="00E44440">
        <w:rPr>
          <w:rFonts w:ascii="Times New Roman" w:hAnsi="Times New Roman"/>
          <w:sz w:val="20"/>
          <w:szCs w:val="20"/>
          <w:lang w:val="en-US"/>
        </w:rPr>
        <w:t>Each Party has the obligation to transmit to the Secre</w:t>
      </w:r>
      <w:r>
        <w:rPr>
          <w:rFonts w:ascii="Times New Roman" w:hAnsi="Times New Roman"/>
          <w:sz w:val="20"/>
          <w:szCs w:val="20"/>
          <w:lang w:val="en-US"/>
        </w:rPr>
        <w:t>tariat</w:t>
      </w:r>
      <w:r w:rsidRPr="00E44440">
        <w:rPr>
          <w:rFonts w:ascii="Times New Roman" w:hAnsi="Times New Roman"/>
          <w:sz w:val="20"/>
          <w:szCs w:val="20"/>
          <w:lang w:val="en-US"/>
        </w:rPr>
        <w:t xml:space="preserve"> a national report on an annual basis that contains information, among other things, on</w:t>
      </w:r>
      <w:r>
        <w:rPr>
          <w:rFonts w:ascii="Times New Roman" w:hAnsi="Times New Roman"/>
          <w:sz w:val="20"/>
          <w:szCs w:val="20"/>
          <w:lang w:val="en-US"/>
        </w:rPr>
        <w:t>:</w:t>
      </w:r>
      <w:r w:rsidRPr="00E44440">
        <w:rPr>
          <w:rFonts w:ascii="Times New Roman" w:hAnsi="Times New Roman"/>
          <w:sz w:val="20"/>
          <w:szCs w:val="20"/>
          <w:lang w:val="en-US"/>
        </w:rPr>
        <w:t xml:space="preserve"> the amount of wastes generated</w:t>
      </w:r>
      <w:r>
        <w:rPr>
          <w:rFonts w:ascii="Times New Roman" w:hAnsi="Times New Roman"/>
          <w:sz w:val="20"/>
          <w:szCs w:val="20"/>
          <w:lang w:val="en-US"/>
        </w:rPr>
        <w:t>; t</w:t>
      </w:r>
      <w:r w:rsidRPr="005402BF">
        <w:rPr>
          <w:rFonts w:ascii="Times New Roman" w:hAnsi="Times New Roman"/>
          <w:sz w:val="20"/>
          <w:szCs w:val="20"/>
          <w:lang w:val="en-US"/>
        </w:rPr>
        <w:t>he amount of hazardous wastes and other wastes exported,</w:t>
      </w:r>
      <w:r>
        <w:rPr>
          <w:rFonts w:ascii="Times New Roman" w:hAnsi="Times New Roman"/>
          <w:sz w:val="20"/>
          <w:szCs w:val="20"/>
          <w:lang w:val="en-US"/>
        </w:rPr>
        <w:t xml:space="preserve"> </w:t>
      </w:r>
      <w:r w:rsidRPr="005402BF">
        <w:rPr>
          <w:rFonts w:ascii="Times New Roman" w:hAnsi="Times New Roman"/>
          <w:sz w:val="20"/>
          <w:szCs w:val="20"/>
          <w:lang w:val="en-US"/>
        </w:rPr>
        <w:t>their category, characteristics, destination, any transit country</w:t>
      </w:r>
      <w:r>
        <w:rPr>
          <w:rFonts w:ascii="Times New Roman" w:hAnsi="Times New Roman"/>
          <w:sz w:val="20"/>
          <w:szCs w:val="20"/>
          <w:lang w:val="en-US"/>
        </w:rPr>
        <w:t xml:space="preserve">, </w:t>
      </w:r>
      <w:r w:rsidRPr="005402BF">
        <w:rPr>
          <w:rFonts w:ascii="Times New Roman" w:hAnsi="Times New Roman"/>
          <w:sz w:val="20"/>
          <w:szCs w:val="20"/>
          <w:lang w:val="en-US"/>
        </w:rPr>
        <w:t>and disposal method as stated on the response to notification;</w:t>
      </w:r>
      <w:r>
        <w:rPr>
          <w:rFonts w:ascii="Times New Roman" w:hAnsi="Times New Roman"/>
          <w:sz w:val="20"/>
          <w:szCs w:val="20"/>
          <w:lang w:val="en-US"/>
        </w:rPr>
        <w:t xml:space="preserve"> and t</w:t>
      </w:r>
      <w:r w:rsidRPr="005402BF">
        <w:rPr>
          <w:rFonts w:ascii="Times New Roman" w:hAnsi="Times New Roman"/>
          <w:sz w:val="20"/>
          <w:szCs w:val="20"/>
          <w:lang w:val="en-US"/>
        </w:rPr>
        <w:t>he amount of hazardous wastes and other wastes imported</w:t>
      </w:r>
      <w:r>
        <w:rPr>
          <w:rFonts w:ascii="Times New Roman" w:hAnsi="Times New Roman"/>
          <w:sz w:val="20"/>
          <w:szCs w:val="20"/>
          <w:lang w:val="en-US"/>
        </w:rPr>
        <w:t xml:space="preserve"> </w:t>
      </w:r>
      <w:r w:rsidRPr="005402BF">
        <w:rPr>
          <w:rFonts w:ascii="Times New Roman" w:hAnsi="Times New Roman"/>
          <w:sz w:val="20"/>
          <w:szCs w:val="20"/>
          <w:lang w:val="en-US"/>
        </w:rPr>
        <w:t>their category, characteristics, origin, and di</w:t>
      </w:r>
      <w:bookmarkStart w:id="0" w:name="_GoBack"/>
      <w:bookmarkEnd w:id="0"/>
      <w:r w:rsidRPr="005402BF">
        <w:rPr>
          <w:rFonts w:ascii="Times New Roman" w:hAnsi="Times New Roman"/>
          <w:sz w:val="20"/>
          <w:szCs w:val="20"/>
          <w:lang w:val="en-US"/>
        </w:rPr>
        <w:t>sposal methods</w:t>
      </w:r>
      <w:r>
        <w:rPr>
          <w:rFonts w:ascii="Times New Roman" w:hAnsi="Times New Roman"/>
          <w:sz w:val="20"/>
          <w:szCs w:val="20"/>
          <w:lang w:val="en-US"/>
        </w:rPr>
        <w:t>. National reports are made publicly available on the website of the Convention</w:t>
      </w:r>
      <w:r>
        <w:rPr>
          <w:rStyle w:val="FootnoteReference"/>
          <w:lang w:val="en-US"/>
        </w:rPr>
        <w:footnoteReference w:id="1"/>
      </w:r>
      <w:r>
        <w:rPr>
          <w:rFonts w:ascii="Times New Roman" w:hAnsi="Times New Roman"/>
          <w:sz w:val="20"/>
          <w:szCs w:val="20"/>
          <w:lang w:val="en-US"/>
        </w:rPr>
        <w:t>.</w:t>
      </w:r>
    </w:p>
    <w:p w:rsidR="00EF0B8C" w:rsidRDefault="00EF0B8C" w:rsidP="00EF0B8C">
      <w:pPr>
        <w:tabs>
          <w:tab w:val="left" w:pos="1260"/>
          <w:tab w:val="left" w:pos="1814"/>
          <w:tab w:val="left" w:pos="2381"/>
          <w:tab w:val="left" w:pos="2948"/>
          <w:tab w:val="left" w:pos="3515"/>
        </w:tabs>
        <w:spacing w:before="120" w:after="120" w:line="240" w:lineRule="auto"/>
        <w:ind w:left="1276"/>
        <w:rPr>
          <w:rFonts w:ascii="Times New Roman" w:hAnsi="Times New Roman"/>
          <w:sz w:val="20"/>
          <w:szCs w:val="20"/>
          <w:lang w:val="en-US"/>
        </w:rPr>
      </w:pPr>
      <w:r w:rsidRPr="000368F1">
        <w:rPr>
          <w:rFonts w:ascii="Times New Roman" w:hAnsi="Times New Roman"/>
          <w:sz w:val="20"/>
          <w:szCs w:val="20"/>
          <w:lang w:val="en-US"/>
        </w:rPr>
        <w:t xml:space="preserve">Ongoing key activities under the Basel Convention that assist Parties in implementing measures to </w:t>
      </w:r>
      <w:r>
        <w:rPr>
          <w:rFonts w:ascii="Times New Roman" w:hAnsi="Times New Roman"/>
          <w:sz w:val="20"/>
          <w:szCs w:val="20"/>
          <w:lang w:val="en-US"/>
        </w:rPr>
        <w:t xml:space="preserve">ensure the environmentally sound management of wastes lead-acid batteries </w:t>
      </w:r>
      <w:r w:rsidRPr="000368F1">
        <w:rPr>
          <w:rFonts w:ascii="Times New Roman" w:hAnsi="Times New Roman"/>
          <w:sz w:val="20"/>
          <w:szCs w:val="20"/>
          <w:lang w:val="en-US"/>
        </w:rPr>
        <w:t>include</w:t>
      </w:r>
      <w:r>
        <w:rPr>
          <w:rFonts w:ascii="Times New Roman" w:hAnsi="Times New Roman"/>
          <w:sz w:val="20"/>
          <w:szCs w:val="20"/>
          <w:lang w:val="en-US"/>
        </w:rPr>
        <w:t xml:space="preserve">: </w:t>
      </w:r>
    </w:p>
    <w:p w:rsidR="00EF0B8C" w:rsidRPr="000B1B97" w:rsidRDefault="00EF0B8C" w:rsidP="00EF0B8C">
      <w:pPr>
        <w:numPr>
          <w:ilvl w:val="1"/>
          <w:numId w:val="1"/>
        </w:numPr>
        <w:tabs>
          <w:tab w:val="left" w:pos="1276"/>
          <w:tab w:val="left" w:pos="2381"/>
          <w:tab w:val="left" w:pos="2948"/>
          <w:tab w:val="left" w:pos="3515"/>
        </w:tabs>
        <w:spacing w:after="120" w:line="240" w:lineRule="auto"/>
        <w:ind w:left="1276" w:firstLine="567"/>
        <w:rPr>
          <w:rFonts w:ascii="Times New Roman" w:hAnsi="Times New Roman"/>
          <w:sz w:val="20"/>
          <w:szCs w:val="20"/>
          <w:lang w:val="en-US"/>
        </w:rPr>
      </w:pPr>
      <w:r>
        <w:rPr>
          <w:rFonts w:ascii="Times New Roman" w:hAnsi="Times New Roman"/>
          <w:sz w:val="20"/>
          <w:szCs w:val="20"/>
          <w:lang w:val="en-US"/>
        </w:rPr>
        <w:t xml:space="preserve">The </w:t>
      </w:r>
      <w:r w:rsidRPr="000B1B97">
        <w:rPr>
          <w:rFonts w:ascii="Times New Roman" w:hAnsi="Times New Roman"/>
          <w:sz w:val="20"/>
          <w:szCs w:val="20"/>
          <w:lang w:val="en-US"/>
        </w:rPr>
        <w:t>Technical guidelines for the environmentally sound management of waste lead-acid batteries were adopted by the Conference of the Parties to the Basel Convention (</w:t>
      </w:r>
      <w:r>
        <w:rPr>
          <w:rFonts w:ascii="Times New Roman" w:hAnsi="Times New Roman"/>
          <w:sz w:val="20"/>
          <w:szCs w:val="20"/>
          <w:lang w:val="en-US"/>
        </w:rPr>
        <w:t xml:space="preserve">Dec </w:t>
      </w:r>
      <w:r w:rsidRPr="000368F1">
        <w:rPr>
          <w:rFonts w:ascii="Times New Roman" w:hAnsi="Times New Roman"/>
          <w:sz w:val="20"/>
          <w:szCs w:val="20"/>
          <w:lang w:val="en-US"/>
        </w:rPr>
        <w:t>2002)</w:t>
      </w:r>
      <w:r w:rsidRPr="000B1B97">
        <w:rPr>
          <w:rFonts w:ascii="Times New Roman" w:hAnsi="Times New Roman"/>
          <w:sz w:val="20"/>
          <w:szCs w:val="20"/>
          <w:lang w:val="en-US"/>
        </w:rPr>
        <w:t>;</w:t>
      </w:r>
      <w:r w:rsidRPr="000B1B97">
        <w:rPr>
          <w:rStyle w:val="FootnoteReference"/>
          <w:lang w:val="en-US"/>
        </w:rPr>
        <w:footnoteReference w:id="2"/>
      </w:r>
      <w:r w:rsidRPr="000B1B97">
        <w:rPr>
          <w:rFonts w:ascii="Times New Roman" w:hAnsi="Times New Roman"/>
          <w:sz w:val="20"/>
          <w:szCs w:val="20"/>
          <w:lang w:val="en-US"/>
        </w:rPr>
        <w:t xml:space="preserve"> These technical guidelines provide </w:t>
      </w:r>
      <w:r>
        <w:rPr>
          <w:rFonts w:ascii="Times New Roman" w:hAnsi="Times New Roman"/>
          <w:sz w:val="20"/>
          <w:szCs w:val="20"/>
          <w:lang w:val="en-US"/>
        </w:rPr>
        <w:t xml:space="preserve">a comprehensive approach to the management of wastes lead-acid batteries including when implementing </w:t>
      </w:r>
      <w:r w:rsidRPr="005167F0">
        <w:rPr>
          <w:rFonts w:ascii="Times New Roman" w:hAnsi="Times New Roman"/>
          <w:sz w:val="20"/>
          <w:szCs w:val="20"/>
          <w:lang w:val="en-US"/>
        </w:rPr>
        <w:t>recycling</w:t>
      </w:r>
      <w:r>
        <w:rPr>
          <w:rFonts w:ascii="Times New Roman" w:hAnsi="Times New Roman"/>
          <w:sz w:val="20"/>
          <w:szCs w:val="20"/>
          <w:lang w:val="en-US"/>
        </w:rPr>
        <w:t xml:space="preserve"> programmes; </w:t>
      </w:r>
      <w:r w:rsidRPr="000B1B97">
        <w:rPr>
          <w:rFonts w:ascii="Times New Roman" w:hAnsi="Times New Roman"/>
          <w:sz w:val="20"/>
          <w:szCs w:val="20"/>
          <w:lang w:val="en-US"/>
        </w:rPr>
        <w:t xml:space="preserve"> </w:t>
      </w:r>
    </w:p>
    <w:p w:rsidR="00EF0B8C" w:rsidRPr="002520AA" w:rsidRDefault="00EF0B8C" w:rsidP="00EF0B8C">
      <w:pPr>
        <w:numPr>
          <w:ilvl w:val="1"/>
          <w:numId w:val="1"/>
        </w:numPr>
        <w:tabs>
          <w:tab w:val="left" w:pos="1276"/>
          <w:tab w:val="left" w:pos="2381"/>
          <w:tab w:val="left" w:pos="2948"/>
          <w:tab w:val="left" w:pos="3515"/>
        </w:tabs>
        <w:spacing w:after="120" w:line="240" w:lineRule="auto"/>
        <w:ind w:left="1276" w:firstLine="567"/>
        <w:rPr>
          <w:rFonts w:ascii="Times New Roman" w:hAnsi="Times New Roman"/>
          <w:sz w:val="20"/>
          <w:szCs w:val="20"/>
          <w:lang w:val="en-US"/>
        </w:rPr>
      </w:pPr>
      <w:r w:rsidRPr="002520AA">
        <w:rPr>
          <w:rFonts w:ascii="Times New Roman" w:hAnsi="Times New Roman"/>
          <w:sz w:val="20"/>
          <w:szCs w:val="20"/>
          <w:lang w:val="en-US"/>
        </w:rPr>
        <w:t xml:space="preserve">The </w:t>
      </w:r>
      <w:r>
        <w:rPr>
          <w:rFonts w:ascii="Times New Roman" w:hAnsi="Times New Roman"/>
          <w:sz w:val="20"/>
          <w:szCs w:val="20"/>
          <w:lang w:val="en-US"/>
        </w:rPr>
        <w:t xml:space="preserve">draft </w:t>
      </w:r>
      <w:r w:rsidRPr="002520AA">
        <w:rPr>
          <w:rFonts w:ascii="Times New Roman" w:hAnsi="Times New Roman"/>
          <w:sz w:val="20"/>
          <w:szCs w:val="20"/>
          <w:lang w:val="en-US"/>
        </w:rPr>
        <w:t xml:space="preserve">Practical guidance </w:t>
      </w:r>
      <w:r w:rsidRPr="006864D8">
        <w:rPr>
          <w:rFonts w:ascii="Times New Roman" w:hAnsi="Times New Roman"/>
          <w:sz w:val="20"/>
          <w:szCs w:val="20"/>
          <w:lang w:val="en-US"/>
        </w:rPr>
        <w:t>on the development of inventories of used lead-</w:t>
      </w:r>
      <w:r w:rsidRPr="002520AA">
        <w:rPr>
          <w:rFonts w:ascii="Times New Roman" w:hAnsi="Times New Roman"/>
          <w:sz w:val="20"/>
          <w:szCs w:val="20"/>
          <w:lang w:val="en-US"/>
        </w:rPr>
        <w:t>acid batteries (2017</w:t>
      </w:r>
      <w:proofErr w:type="gramStart"/>
      <w:r w:rsidRPr="002520AA">
        <w:rPr>
          <w:rFonts w:ascii="Times New Roman" w:hAnsi="Times New Roman"/>
          <w:sz w:val="20"/>
          <w:szCs w:val="20"/>
          <w:lang w:val="en-US"/>
        </w:rPr>
        <w:t>),</w:t>
      </w:r>
      <w:proofErr w:type="gramEnd"/>
      <w:r w:rsidRPr="002520AA">
        <w:rPr>
          <w:rStyle w:val="FootnoteReference"/>
          <w:lang w:val="en-US"/>
        </w:rPr>
        <w:footnoteReference w:id="3"/>
      </w:r>
      <w:r w:rsidRPr="002520AA">
        <w:rPr>
          <w:rFonts w:ascii="Times New Roman" w:hAnsi="Times New Roman"/>
          <w:sz w:val="20"/>
          <w:szCs w:val="20"/>
          <w:lang w:val="en-US"/>
        </w:rPr>
        <w:t xml:space="preserve"> also referred to in paragraph 6(h) above, is currently being pilot tested</w:t>
      </w:r>
      <w:r w:rsidRPr="006864D8">
        <w:rPr>
          <w:rFonts w:ascii="Times New Roman" w:hAnsi="Times New Roman"/>
          <w:sz w:val="20"/>
          <w:szCs w:val="20"/>
          <w:lang w:val="en-US"/>
        </w:rPr>
        <w:t xml:space="preserve">. </w:t>
      </w:r>
      <w:r w:rsidRPr="005402BF">
        <w:rPr>
          <w:rFonts w:ascii="Times New Roman" w:hAnsi="Times New Roman"/>
          <w:sz w:val="20"/>
          <w:szCs w:val="20"/>
          <w:lang w:val="en-US"/>
        </w:rPr>
        <w:t>Those projects aim to assist countries in assessing the generation of waste lead</w:t>
      </w:r>
      <w:r>
        <w:rPr>
          <w:rFonts w:ascii="Times New Roman" w:hAnsi="Times New Roman"/>
          <w:sz w:val="20"/>
          <w:szCs w:val="20"/>
          <w:lang w:val="en-US"/>
        </w:rPr>
        <w:t>-</w:t>
      </w:r>
      <w:r w:rsidRPr="005402BF">
        <w:rPr>
          <w:rFonts w:ascii="Times New Roman" w:hAnsi="Times New Roman"/>
          <w:sz w:val="20"/>
          <w:szCs w:val="20"/>
          <w:lang w:val="en-US"/>
        </w:rPr>
        <w:t xml:space="preserve">acid batteries as a first step in the planning of strategies for recycling and in collecting information for </w:t>
      </w:r>
      <w:r>
        <w:rPr>
          <w:rFonts w:ascii="Times New Roman" w:hAnsi="Times New Roman"/>
          <w:sz w:val="20"/>
          <w:szCs w:val="20"/>
          <w:lang w:val="en-US"/>
        </w:rPr>
        <w:t xml:space="preserve">the purpose of the </w:t>
      </w:r>
      <w:r w:rsidRPr="005402BF">
        <w:rPr>
          <w:rFonts w:ascii="Times New Roman" w:hAnsi="Times New Roman"/>
          <w:sz w:val="20"/>
          <w:szCs w:val="20"/>
          <w:lang w:val="en-US"/>
        </w:rPr>
        <w:t>national reporting</w:t>
      </w:r>
      <w:r>
        <w:rPr>
          <w:rFonts w:ascii="Times New Roman" w:hAnsi="Times New Roman"/>
          <w:sz w:val="20"/>
          <w:szCs w:val="20"/>
          <w:lang w:val="en-US"/>
        </w:rPr>
        <w:t xml:space="preserve"> obligation under the Convention;</w:t>
      </w:r>
    </w:p>
    <w:p w:rsidR="00EF0B8C" w:rsidRPr="00121712" w:rsidRDefault="00EF0B8C" w:rsidP="00EF0B8C">
      <w:pPr>
        <w:numPr>
          <w:ilvl w:val="1"/>
          <w:numId w:val="1"/>
        </w:numPr>
        <w:tabs>
          <w:tab w:val="left" w:pos="1260"/>
          <w:tab w:val="left" w:pos="1890"/>
          <w:tab w:val="left" w:pos="2381"/>
          <w:tab w:val="left" w:pos="2948"/>
          <w:tab w:val="left" w:pos="3515"/>
        </w:tabs>
        <w:spacing w:after="120" w:line="240" w:lineRule="auto"/>
        <w:ind w:left="1276" w:firstLine="567"/>
        <w:rPr>
          <w:rFonts w:ascii="Times New Roman" w:eastAsia="Times New Roman" w:hAnsi="Times New Roman"/>
          <w:sz w:val="20"/>
          <w:szCs w:val="20"/>
          <w:lang w:val="en-US"/>
        </w:rPr>
      </w:pPr>
      <w:r w:rsidRPr="00121712">
        <w:rPr>
          <w:rFonts w:ascii="Times New Roman" w:hAnsi="Times New Roman"/>
          <w:sz w:val="20"/>
          <w:szCs w:val="20"/>
          <w:lang w:val="en-US"/>
        </w:rPr>
        <w:lastRenderedPageBreak/>
        <w:t>A Fact sheet on waste lead-acid batteries</w:t>
      </w:r>
      <w:r w:rsidRPr="000368F1">
        <w:rPr>
          <w:rFonts w:ascii="Times New Roman" w:hAnsi="Times New Roman"/>
          <w:sz w:val="20"/>
          <w:szCs w:val="20"/>
          <w:vertAlign w:val="superscript"/>
        </w:rPr>
        <w:footnoteReference w:id="4"/>
      </w:r>
      <w:r w:rsidRPr="00121712">
        <w:rPr>
          <w:rFonts w:ascii="Times New Roman" w:hAnsi="Times New Roman"/>
          <w:sz w:val="20"/>
          <w:szCs w:val="20"/>
          <w:lang w:val="en-US"/>
        </w:rPr>
        <w:t xml:space="preserve"> (2017) has been developed by the expert working group on environmentally sound management. This fact sheet provides information on the environmentally sound management of waste lead-acid batteries. It is primarily intended for use by collectors of waste lead-acid batteries, transporters and operators of facilities that </w:t>
      </w:r>
      <w:proofErr w:type="gramStart"/>
      <w:r w:rsidRPr="00121712">
        <w:rPr>
          <w:rFonts w:ascii="Times New Roman" w:hAnsi="Times New Roman"/>
          <w:sz w:val="20"/>
          <w:szCs w:val="20"/>
          <w:lang w:val="en-US"/>
        </w:rPr>
        <w:t>store,</w:t>
      </w:r>
      <w:proofErr w:type="gramEnd"/>
      <w:r w:rsidRPr="00121712">
        <w:rPr>
          <w:rFonts w:ascii="Times New Roman" w:hAnsi="Times New Roman"/>
          <w:sz w:val="20"/>
          <w:szCs w:val="20"/>
          <w:lang w:val="en-US"/>
        </w:rPr>
        <w:t xml:space="preserve"> recycle or otherwise dispose waste lead-acid batteries.</w:t>
      </w:r>
    </w:p>
    <w:p w:rsidR="00713A42" w:rsidRDefault="00713A42">
      <w:pPr>
        <w:rPr>
          <w:lang w:val="en-US"/>
        </w:rPr>
      </w:pPr>
    </w:p>
    <w:tbl>
      <w:tblPr>
        <w:tblW w:w="0" w:type="auto"/>
        <w:jc w:val="right"/>
        <w:tblCellMar>
          <w:top w:w="28" w:type="dxa"/>
          <w:left w:w="17" w:type="dxa"/>
          <w:bottom w:w="28" w:type="dxa"/>
          <w:right w:w="17" w:type="dxa"/>
        </w:tblCellMar>
        <w:tblLook w:val="04A0" w:firstRow="1" w:lastRow="0" w:firstColumn="1" w:lastColumn="0" w:noHBand="0" w:noVBand="1"/>
      </w:tblPr>
      <w:tblGrid>
        <w:gridCol w:w="1837"/>
        <w:gridCol w:w="1836"/>
        <w:gridCol w:w="1837"/>
        <w:gridCol w:w="1838"/>
        <w:gridCol w:w="1838"/>
      </w:tblGrid>
      <w:tr w:rsidR="00864771" w:rsidRPr="00D92224" w:rsidTr="006847CF">
        <w:trPr>
          <w:jc w:val="right"/>
        </w:trPr>
        <w:tc>
          <w:tcPr>
            <w:tcW w:w="1837" w:type="dxa"/>
            <w:shd w:val="clear" w:color="auto" w:fill="auto"/>
            <w:tcMar>
              <w:left w:w="57" w:type="dxa"/>
              <w:right w:w="57" w:type="dxa"/>
            </w:tcMar>
          </w:tcPr>
          <w:p w:rsidR="00864771" w:rsidRPr="00654744" w:rsidRDefault="00864771" w:rsidP="006847CF">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6" w:type="dxa"/>
            <w:shd w:val="clear" w:color="auto" w:fill="auto"/>
            <w:tcMar>
              <w:left w:w="57" w:type="dxa"/>
              <w:right w:w="57" w:type="dxa"/>
            </w:tcMar>
          </w:tcPr>
          <w:p w:rsidR="00864771" w:rsidRPr="00654744" w:rsidRDefault="00864771" w:rsidP="006847CF">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7" w:type="dxa"/>
            <w:tcBorders>
              <w:bottom w:val="single" w:sz="4" w:space="0" w:color="auto"/>
            </w:tcBorders>
            <w:shd w:val="clear" w:color="auto" w:fill="auto"/>
            <w:tcMar>
              <w:left w:w="57" w:type="dxa"/>
              <w:right w:w="57" w:type="dxa"/>
            </w:tcMar>
          </w:tcPr>
          <w:p w:rsidR="00864771" w:rsidRPr="00654744" w:rsidRDefault="00864771" w:rsidP="006847CF">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8" w:type="dxa"/>
            <w:shd w:val="clear" w:color="auto" w:fill="auto"/>
            <w:tcMar>
              <w:left w:w="57" w:type="dxa"/>
              <w:right w:w="57" w:type="dxa"/>
            </w:tcMar>
          </w:tcPr>
          <w:p w:rsidR="00864771" w:rsidRPr="00654744" w:rsidRDefault="00864771" w:rsidP="006847CF">
            <w:pPr>
              <w:tabs>
                <w:tab w:val="left" w:pos="1247"/>
                <w:tab w:val="left" w:pos="1814"/>
                <w:tab w:val="left" w:pos="2381"/>
                <w:tab w:val="left" w:pos="2948"/>
                <w:tab w:val="left" w:pos="3515"/>
                <w:tab w:val="left" w:pos="4082"/>
              </w:tabs>
              <w:spacing w:before="520"/>
              <w:rPr>
                <w:rFonts w:eastAsia="Times New Roman"/>
                <w:sz w:val="18"/>
                <w:szCs w:val="18"/>
                <w:lang w:val="en-GB"/>
              </w:rPr>
            </w:pPr>
          </w:p>
        </w:tc>
        <w:tc>
          <w:tcPr>
            <w:tcW w:w="1838" w:type="dxa"/>
            <w:shd w:val="clear" w:color="auto" w:fill="auto"/>
            <w:tcMar>
              <w:left w:w="57" w:type="dxa"/>
              <w:right w:w="57" w:type="dxa"/>
            </w:tcMar>
          </w:tcPr>
          <w:p w:rsidR="00864771" w:rsidRPr="00654744" w:rsidRDefault="00864771" w:rsidP="006847CF">
            <w:pPr>
              <w:tabs>
                <w:tab w:val="left" w:pos="1247"/>
                <w:tab w:val="left" w:pos="1814"/>
                <w:tab w:val="left" w:pos="2381"/>
                <w:tab w:val="left" w:pos="2948"/>
                <w:tab w:val="left" w:pos="3515"/>
                <w:tab w:val="left" w:pos="4082"/>
              </w:tabs>
              <w:spacing w:before="520"/>
              <w:rPr>
                <w:rFonts w:eastAsia="Times New Roman"/>
                <w:sz w:val="18"/>
                <w:szCs w:val="18"/>
                <w:lang w:val="en-GB"/>
              </w:rPr>
            </w:pPr>
          </w:p>
        </w:tc>
      </w:tr>
    </w:tbl>
    <w:p w:rsidR="00864771" w:rsidRPr="00EF0B8C" w:rsidRDefault="00864771">
      <w:pPr>
        <w:rPr>
          <w:lang w:val="en-US"/>
        </w:rPr>
      </w:pPr>
    </w:p>
    <w:sectPr w:rsidR="00864771" w:rsidRPr="00EF0B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90" w:rsidRDefault="005B6C90" w:rsidP="00EF0B8C">
      <w:pPr>
        <w:spacing w:after="0" w:line="240" w:lineRule="auto"/>
      </w:pPr>
      <w:r>
        <w:separator/>
      </w:r>
    </w:p>
  </w:endnote>
  <w:endnote w:type="continuationSeparator" w:id="0">
    <w:p w:rsidR="005B6C90" w:rsidRDefault="005B6C90" w:rsidP="00EF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90" w:rsidRDefault="005B6C90" w:rsidP="00EF0B8C">
      <w:pPr>
        <w:spacing w:after="0" w:line="240" w:lineRule="auto"/>
      </w:pPr>
      <w:r>
        <w:separator/>
      </w:r>
    </w:p>
  </w:footnote>
  <w:footnote w:type="continuationSeparator" w:id="0">
    <w:p w:rsidR="005B6C90" w:rsidRDefault="005B6C90" w:rsidP="00EF0B8C">
      <w:pPr>
        <w:spacing w:after="0" w:line="240" w:lineRule="auto"/>
      </w:pPr>
      <w:r>
        <w:continuationSeparator/>
      </w:r>
    </w:p>
  </w:footnote>
  <w:footnote w:id="1">
    <w:p w:rsidR="00EF0B8C" w:rsidRPr="005402BF" w:rsidRDefault="00EF0B8C" w:rsidP="00EF0B8C">
      <w:pPr>
        <w:pStyle w:val="FootnoteText"/>
        <w:ind w:firstLine="1276"/>
        <w:rPr>
          <w:rFonts w:ascii="Times New Roman" w:hAnsi="Times New Roman"/>
          <w:sz w:val="18"/>
          <w:szCs w:val="18"/>
          <w:lang w:val="en-US"/>
        </w:rPr>
      </w:pPr>
      <w:r w:rsidRPr="005402BF">
        <w:rPr>
          <w:rStyle w:val="FootnoteReference"/>
          <w:sz w:val="18"/>
        </w:rPr>
        <w:footnoteRef/>
      </w:r>
      <w:r w:rsidRPr="005402BF">
        <w:rPr>
          <w:rFonts w:ascii="Times New Roman" w:hAnsi="Times New Roman"/>
          <w:sz w:val="18"/>
          <w:szCs w:val="18"/>
          <w:lang w:val="en-US"/>
        </w:rPr>
        <w:t xml:space="preserve"> http://www.basel.int/Countries/NationalReporting/NationalReports/tabid/4250/Default.aspx</w:t>
      </w:r>
    </w:p>
  </w:footnote>
  <w:footnote w:id="2">
    <w:p w:rsidR="00EF0B8C" w:rsidRPr="000368F1" w:rsidRDefault="00EF0B8C" w:rsidP="00EF0B8C">
      <w:pPr>
        <w:pStyle w:val="FootnoteText"/>
        <w:ind w:left="1276"/>
        <w:rPr>
          <w:rFonts w:ascii="Times New Roman" w:hAnsi="Times New Roman"/>
          <w:sz w:val="18"/>
          <w:szCs w:val="18"/>
          <w:lang w:val="en-US"/>
        </w:rPr>
      </w:pPr>
      <w:r w:rsidRPr="000368F1">
        <w:rPr>
          <w:rStyle w:val="FootnoteReference"/>
          <w:sz w:val="18"/>
        </w:rPr>
        <w:footnoteRef/>
      </w:r>
      <w:r w:rsidRPr="000368F1">
        <w:rPr>
          <w:rFonts w:ascii="Times New Roman" w:hAnsi="Times New Roman"/>
          <w:sz w:val="18"/>
          <w:szCs w:val="18"/>
          <w:lang w:val="en-US"/>
        </w:rPr>
        <w:t xml:space="preserve"> Available at: http://www.basel.int/Implementation/Publications/LatestTechnicalGuidelines/tabid/5875/Default.aspx</w:t>
      </w:r>
    </w:p>
  </w:footnote>
  <w:footnote w:id="3">
    <w:p w:rsidR="00EF0B8C" w:rsidRPr="000368F1" w:rsidRDefault="00EF0B8C" w:rsidP="00EF0B8C">
      <w:pPr>
        <w:tabs>
          <w:tab w:val="left" w:pos="1276"/>
          <w:tab w:val="left" w:pos="2381"/>
          <w:tab w:val="left" w:pos="2948"/>
          <w:tab w:val="left" w:pos="3515"/>
        </w:tabs>
        <w:spacing w:after="120" w:line="240" w:lineRule="auto"/>
        <w:ind w:left="1276"/>
        <w:rPr>
          <w:lang w:val="en-US"/>
        </w:rPr>
      </w:pPr>
      <w:r w:rsidRPr="000368F1">
        <w:rPr>
          <w:rStyle w:val="FootnoteReference"/>
          <w:sz w:val="18"/>
        </w:rPr>
        <w:footnoteRef/>
      </w:r>
      <w:r w:rsidRPr="000368F1">
        <w:rPr>
          <w:rFonts w:ascii="Times New Roman" w:hAnsi="Times New Roman"/>
          <w:sz w:val="18"/>
          <w:szCs w:val="18"/>
          <w:lang w:val="en-US"/>
        </w:rPr>
        <w:t xml:space="preserve"> Document UNE</w:t>
      </w:r>
      <w:r>
        <w:rPr>
          <w:rFonts w:ascii="Times New Roman" w:hAnsi="Times New Roman"/>
          <w:sz w:val="18"/>
          <w:szCs w:val="18"/>
          <w:lang w:val="en-US"/>
        </w:rPr>
        <w:t xml:space="preserve">P/CHW.13/INF/22, available at: </w:t>
      </w:r>
      <w:r>
        <w:fldChar w:fldCharType="begin"/>
      </w:r>
      <w:r w:rsidRPr="00EF0B8C">
        <w:rPr>
          <w:lang w:val="en-US"/>
        </w:rPr>
        <w:instrText xml:space="preserve"> HYPERLINK "http://www.basel.int/TheConvention/ConferenceoftheParties/Meetings/COP13/tabid/5310/Default.aspx" </w:instrText>
      </w:r>
      <w:r>
        <w:fldChar w:fldCharType="separate"/>
      </w:r>
      <w:r w:rsidRPr="003B60DD">
        <w:rPr>
          <w:rStyle w:val="Hyperlink"/>
          <w:sz w:val="18"/>
          <w:szCs w:val="18"/>
          <w:lang w:val="en-US"/>
        </w:rPr>
        <w:t>http://www.basel.int/TheConvention/ConferenceoftheParties/Meetings/COP13/tabid/5310/Default.aspx</w:t>
      </w:r>
      <w:r>
        <w:rPr>
          <w:rStyle w:val="Hyperlink"/>
          <w:sz w:val="18"/>
          <w:szCs w:val="18"/>
          <w:lang w:val="en-US"/>
        </w:rPr>
        <w:fldChar w:fldCharType="end"/>
      </w:r>
      <w:r>
        <w:rPr>
          <w:rFonts w:ascii="Times New Roman" w:hAnsi="Times New Roman"/>
          <w:sz w:val="18"/>
          <w:szCs w:val="18"/>
          <w:lang w:val="en-US"/>
        </w:rPr>
        <w:t xml:space="preserve">. </w:t>
      </w:r>
    </w:p>
  </w:footnote>
  <w:footnote w:id="4">
    <w:p w:rsidR="00EF0B8C" w:rsidRPr="000368F1" w:rsidRDefault="00EF0B8C" w:rsidP="00EF0B8C">
      <w:pPr>
        <w:pStyle w:val="FootnoteText"/>
        <w:ind w:left="1276"/>
        <w:rPr>
          <w:rFonts w:ascii="Times New Roman" w:hAnsi="Times New Roman"/>
          <w:sz w:val="18"/>
          <w:szCs w:val="18"/>
          <w:lang w:val="en-US"/>
        </w:rPr>
      </w:pPr>
      <w:r w:rsidRPr="000368F1">
        <w:rPr>
          <w:rStyle w:val="FootnoteReference"/>
          <w:sz w:val="18"/>
        </w:rPr>
        <w:footnoteRef/>
      </w:r>
      <w:r w:rsidRPr="000368F1">
        <w:rPr>
          <w:rFonts w:ascii="Times New Roman" w:hAnsi="Times New Roman"/>
          <w:sz w:val="18"/>
          <w:szCs w:val="18"/>
          <w:lang w:val="en-US"/>
        </w:rPr>
        <w:t xml:space="preserve"> http://www.basel.int/Implementation/CountryLedInitiative/EnvironmentallySoundManagement/ESMToolkit/Factsheets/tabid/5843/Default.aspx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CF1"/>
    <w:multiLevelType w:val="hybridMultilevel"/>
    <w:tmpl w:val="026EA740"/>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5D5E2CCE"/>
    <w:multiLevelType w:val="hybridMultilevel"/>
    <w:tmpl w:val="A9E8D936"/>
    <w:lvl w:ilvl="0" w:tplc="86BC4E74">
      <w:start w:val="1"/>
      <w:numFmt w:val="decimal"/>
      <w:lvlText w:val="%1."/>
      <w:lvlJc w:val="left"/>
      <w:pPr>
        <w:ind w:left="1775" w:hanging="360"/>
      </w:pPr>
      <w:rPr>
        <w:b w:val="0"/>
        <w:sz w:val="20"/>
        <w:szCs w:val="20"/>
      </w:rPr>
    </w:lvl>
    <w:lvl w:ilvl="1" w:tplc="3F82DB7A">
      <w:start w:val="1"/>
      <w:numFmt w:val="lowerLetter"/>
      <w:lvlText w:val="(%2)"/>
      <w:lvlJc w:val="left"/>
      <w:pPr>
        <w:ind w:left="1720" w:hanging="360"/>
      </w:pPr>
      <w:rPr>
        <w:rFonts w:ascii="Times New Roman" w:hAnsi="Times New Roman" w:cs="Times New Roman" w:hint="default"/>
        <w:b w:val="0"/>
        <w:i w:val="0"/>
        <w:sz w:val="20"/>
      </w:r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8C"/>
    <w:rsid w:val="005B6C90"/>
    <w:rsid w:val="00713A42"/>
    <w:rsid w:val="00794DFF"/>
    <w:rsid w:val="00864771"/>
    <w:rsid w:val="00A610A0"/>
    <w:rsid w:val="00E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8C"/>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
    <w:link w:val="FootnoteTextChar"/>
    <w:unhideWhenUsed/>
    <w:rsid w:val="00EF0B8C"/>
    <w:pPr>
      <w:spacing w:after="0" w:line="240" w:lineRule="auto"/>
    </w:pPr>
    <w:rPr>
      <w:sz w:val="20"/>
      <w:szCs w:val="20"/>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basedOn w:val="DefaultParagraphFont"/>
    <w:link w:val="FootnoteText"/>
    <w:rsid w:val="00EF0B8C"/>
    <w:rPr>
      <w:rFonts w:ascii="Calibri" w:eastAsia="Calibri" w:hAnsi="Calibri" w:cs="Times New Roman"/>
      <w:sz w:val="20"/>
      <w:szCs w:val="20"/>
      <w:lang w:val="fr-CH"/>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stylish,Text2"/>
    <w:uiPriority w:val="99"/>
    <w:rsid w:val="00EF0B8C"/>
    <w:rPr>
      <w:rFonts w:ascii="Times New Roman" w:hAnsi="Times New Roman"/>
      <w:color w:val="auto"/>
      <w:sz w:val="20"/>
      <w:szCs w:val="18"/>
      <w:vertAlign w:val="superscript"/>
    </w:rPr>
  </w:style>
  <w:style w:type="character" w:styleId="Hyperlink">
    <w:name w:val="Hyperlink"/>
    <w:rsid w:val="00EF0B8C"/>
    <w:rPr>
      <w:rFonts w:ascii="Times New Roman" w:hAnsi="Times New Roman"/>
      <w:color w:val="auto"/>
      <w:sz w:val="20"/>
      <w:szCs w:val="20"/>
      <w:u w:val="none"/>
      <w:lang w:val="fr-FR"/>
    </w:rPr>
  </w:style>
  <w:style w:type="paragraph" w:styleId="ListParagraph">
    <w:name w:val="List Paragraph"/>
    <w:basedOn w:val="Normal"/>
    <w:uiPriority w:val="34"/>
    <w:qFormat/>
    <w:rsid w:val="00EF0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8C"/>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DNV-FT,f,FOOTNOTES,fn,single space,footnote3,Geneva,92,Font:,Boston,10,Footnote Text Rail EIS,ft,Footnotes,Footnote ak,fn cafc,Footnotes Char Char,Footnote Text Char Char,fn Char Char,footnote text,93,Char"/>
    <w:basedOn w:val="Normal"/>
    <w:link w:val="FootnoteTextChar"/>
    <w:unhideWhenUsed/>
    <w:rsid w:val="00EF0B8C"/>
    <w:pPr>
      <w:spacing w:after="0" w:line="240" w:lineRule="auto"/>
    </w:pPr>
    <w:rPr>
      <w:sz w:val="20"/>
      <w:szCs w:val="20"/>
    </w:rPr>
  </w:style>
  <w:style w:type="character" w:customStyle="1" w:styleId="FootnoteTextChar">
    <w:name w:val="Footnote Text Char"/>
    <w:aliases w:val="Geneva 9 Char,Font: Geneva 9 Char,Boston 10 Char,DNV-FT Char,f Char,FOOTNOTES Char,fn Char,single space Char,footnote3 Char,Geneva Char,92 Char,Font: Char,Boston Char,10 Char,Footnote Text Rail EIS Char,ft Char,Footnotes Char,93 Char"/>
    <w:basedOn w:val="DefaultParagraphFont"/>
    <w:link w:val="FootnoteText"/>
    <w:rsid w:val="00EF0B8C"/>
    <w:rPr>
      <w:rFonts w:ascii="Calibri" w:eastAsia="Calibri" w:hAnsi="Calibri" w:cs="Times New Roman"/>
      <w:sz w:val="20"/>
      <w:szCs w:val="20"/>
      <w:lang w:val="fr-CH"/>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stylish,Text2"/>
    <w:uiPriority w:val="99"/>
    <w:rsid w:val="00EF0B8C"/>
    <w:rPr>
      <w:rFonts w:ascii="Times New Roman" w:hAnsi="Times New Roman"/>
      <w:color w:val="auto"/>
      <w:sz w:val="20"/>
      <w:szCs w:val="18"/>
      <w:vertAlign w:val="superscript"/>
    </w:rPr>
  </w:style>
  <w:style w:type="character" w:styleId="Hyperlink">
    <w:name w:val="Hyperlink"/>
    <w:rsid w:val="00EF0B8C"/>
    <w:rPr>
      <w:rFonts w:ascii="Times New Roman" w:hAnsi="Times New Roman"/>
      <w:color w:val="auto"/>
      <w:sz w:val="20"/>
      <w:szCs w:val="20"/>
      <w:u w:val="none"/>
      <w:lang w:val="fr-FR"/>
    </w:rPr>
  </w:style>
  <w:style w:type="paragraph" w:styleId="ListParagraph">
    <w:name w:val="List Paragraph"/>
    <w:basedOn w:val="Normal"/>
    <w:uiPriority w:val="34"/>
    <w:qFormat/>
    <w:rsid w:val="00EF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dc:creator>
  <cp:lastModifiedBy>Marylene</cp:lastModifiedBy>
  <cp:revision>2</cp:revision>
  <dcterms:created xsi:type="dcterms:W3CDTF">2017-11-13T16:07:00Z</dcterms:created>
  <dcterms:modified xsi:type="dcterms:W3CDTF">2017-11-13T16:07:00Z</dcterms:modified>
</cp:coreProperties>
</file>